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FF3D6F">
        <w:rPr>
          <w:rFonts w:ascii="Times New Roman" w:hAnsi="Times New Roman"/>
        </w:rPr>
        <w:t xml:space="preserve">provide a handwashing station for </w:t>
      </w:r>
      <w:r w:rsidR="008465D8">
        <w:rPr>
          <w:rFonts w:ascii="Times New Roman" w:hAnsi="Times New Roman"/>
        </w:rPr>
        <w:t xml:space="preserve">use in the remote </w:t>
      </w:r>
      <w:r w:rsidR="00FF3D6F">
        <w:rPr>
          <w:rFonts w:ascii="Times New Roman" w:hAnsi="Times New Roman"/>
        </w:rPr>
        <w:t>s</w:t>
      </w:r>
      <w:r w:rsidR="008465D8">
        <w:rPr>
          <w:rFonts w:ascii="Times New Roman" w:hAnsi="Times New Roman"/>
        </w:rPr>
        <w:t xml:space="preserve">ushi work </w:t>
      </w:r>
      <w:r w:rsidR="00FF3D6F">
        <w:rPr>
          <w:rFonts w:ascii="Times New Roman" w:hAnsi="Times New Roman"/>
        </w:rPr>
        <w:t>area</w:t>
      </w:r>
      <w:r w:rsidR="008465D8">
        <w:rPr>
          <w:rFonts w:ascii="Times New Roman" w:hAnsi="Times New Roman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465D8" w:rsidRPr="008465D8">
        <w:rPr>
          <w:rFonts w:ascii="Times New Roman" w:hAnsi="Times New Roman"/>
        </w:rPr>
        <w:t>4510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465D8" w:rsidRPr="009D7807" w:rsidRDefault="008465D8" w:rsidP="008465D8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9D7807">
        <w:rPr>
          <w:rFonts w:ascii="Times New Roman" w:hAnsi="Times New Roman"/>
        </w:rPr>
        <w:t>Overall:  Minimum 25 inches long / wide, 19 inches deep, 36 inches high.</w:t>
      </w:r>
    </w:p>
    <w:p w:rsidR="008465D8" w:rsidRPr="009D7807" w:rsidRDefault="008465D8" w:rsidP="008465D8">
      <w:pPr>
        <w:numPr>
          <w:ilvl w:val="2"/>
          <w:numId w:val="1"/>
        </w:numPr>
        <w:rPr>
          <w:rFonts w:ascii="Times New Roman" w:hAnsi="Times New Roman"/>
        </w:rPr>
      </w:pPr>
      <w:r w:rsidRPr="009D7807">
        <w:rPr>
          <w:rFonts w:ascii="Times New Roman" w:hAnsi="Times New Roman"/>
        </w:rPr>
        <w:t>Basin:   Minimum 12 inches wide, 10 inches long, 5.75 inches deep. Dimensional</w:t>
      </w:r>
      <w:r w:rsidRPr="0013716C">
        <w:rPr>
          <w:rFonts w:ascii="Times New Roman" w:hAnsi="Times New Roman"/>
        </w:rPr>
        <w:t xml:space="preserve"> sizes, such as length, width, and height are not critical to this equipment </w:t>
      </w:r>
      <w:r w:rsidRPr="008465D8">
        <w:rPr>
          <w:rFonts w:ascii="Times New Roman" w:hAnsi="Times New Roman"/>
        </w:rPr>
        <w:t>so long as this equipment is an upright floor model</w:t>
      </w:r>
      <w:r w:rsidR="009D7807">
        <w:rPr>
          <w:rFonts w:ascii="Times New Roman" w:hAnsi="Times New Roman"/>
        </w:rPr>
        <w:t xml:space="preserve">. These dimensions are to </w:t>
      </w:r>
      <w:r w:rsidRPr="009D7807">
        <w:rPr>
          <w:rFonts w:ascii="Times New Roman" w:hAnsi="Times New Roman"/>
        </w:rPr>
        <w:t>serve as a general guide to keep this equipment sized for available space.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465D8" w:rsidRPr="00B96039" w:rsidRDefault="008465D8" w:rsidP="008465D8">
      <w:pPr>
        <w:pStyle w:val="Heading1"/>
        <w:numPr>
          <w:ilvl w:val="2"/>
          <w:numId w:val="1"/>
        </w:numPr>
        <w:rPr>
          <w:i/>
        </w:rPr>
      </w:pPr>
      <w:r>
        <w:rPr>
          <w:b w:val="0"/>
        </w:rPr>
        <w:t>Stainless steel basin</w:t>
      </w:r>
    </w:p>
    <w:p w:rsidR="008465D8" w:rsidRPr="00FF3D6F" w:rsidRDefault="008465D8" w:rsidP="008465D8">
      <w:pPr>
        <w:numPr>
          <w:ilvl w:val="2"/>
          <w:numId w:val="1"/>
        </w:numPr>
        <w:rPr>
          <w:rFonts w:ascii="Times New Roman" w:hAnsi="Times New Roman"/>
        </w:rPr>
      </w:pPr>
      <w:r w:rsidRPr="00FF3D6F">
        <w:rPr>
          <w:rFonts w:ascii="Times New Roman" w:hAnsi="Times New Roman"/>
        </w:rPr>
        <w:t>Minimum capa</w:t>
      </w:r>
      <w:r w:rsidR="00585D4A">
        <w:rPr>
          <w:rFonts w:ascii="Times New Roman" w:hAnsi="Times New Roman"/>
        </w:rPr>
        <w:t>city 5 gallons fresh water tank</w:t>
      </w:r>
    </w:p>
    <w:p w:rsidR="008465D8" w:rsidRPr="00FF3D6F" w:rsidRDefault="008465D8" w:rsidP="008465D8">
      <w:pPr>
        <w:numPr>
          <w:ilvl w:val="2"/>
          <w:numId w:val="1"/>
        </w:numPr>
        <w:rPr>
          <w:rFonts w:ascii="Times New Roman" w:hAnsi="Times New Roman"/>
        </w:rPr>
      </w:pPr>
      <w:r w:rsidRPr="00FF3D6F">
        <w:rPr>
          <w:rFonts w:ascii="Times New Roman" w:hAnsi="Times New Roman"/>
        </w:rPr>
        <w:t xml:space="preserve">Minimum capacity </w:t>
      </w:r>
      <w:r w:rsidR="00FF3D6F" w:rsidRPr="00FF3D6F">
        <w:rPr>
          <w:rFonts w:ascii="Times New Roman" w:hAnsi="Times New Roman"/>
        </w:rPr>
        <w:t>6</w:t>
      </w:r>
      <w:r w:rsidR="00585D4A">
        <w:rPr>
          <w:rFonts w:ascii="Times New Roman" w:hAnsi="Times New Roman"/>
        </w:rPr>
        <w:t xml:space="preserve"> gallon waste water tank</w:t>
      </w:r>
    </w:p>
    <w:p w:rsidR="008465D8" w:rsidRPr="00585D4A" w:rsidRDefault="008465D8" w:rsidP="008465D8">
      <w:pPr>
        <w:numPr>
          <w:ilvl w:val="2"/>
          <w:numId w:val="1"/>
        </w:numPr>
        <w:rPr>
          <w:rFonts w:ascii="Times New Roman" w:hAnsi="Times New Roman"/>
        </w:rPr>
      </w:pPr>
      <w:r w:rsidRPr="00585D4A">
        <w:rPr>
          <w:rFonts w:ascii="Times New Roman" w:hAnsi="Times New Roman"/>
        </w:rPr>
        <w:t xml:space="preserve">Automatic </w:t>
      </w:r>
      <w:r w:rsidR="00585D4A" w:rsidRPr="00585D4A">
        <w:rPr>
          <w:rFonts w:ascii="Times New Roman" w:hAnsi="Times New Roman"/>
        </w:rPr>
        <w:t>water pressure, no manual pumping</w:t>
      </w:r>
    </w:p>
    <w:p w:rsidR="008465D8" w:rsidRPr="00AF7695" w:rsidRDefault="00AF7695" w:rsidP="008465D8">
      <w:pPr>
        <w:numPr>
          <w:ilvl w:val="2"/>
          <w:numId w:val="1"/>
        </w:numPr>
        <w:rPr>
          <w:rFonts w:ascii="Times New Roman" w:hAnsi="Times New Roman"/>
        </w:rPr>
      </w:pPr>
      <w:r w:rsidRPr="00AF7695">
        <w:rPr>
          <w:rFonts w:ascii="Times New Roman" w:hAnsi="Times New Roman"/>
        </w:rPr>
        <w:t>Four swivel casters, minimum two locking</w:t>
      </w:r>
    </w:p>
    <w:p w:rsidR="008465D8" w:rsidRPr="00FF3D6F" w:rsidRDefault="008465D8" w:rsidP="00585D4A">
      <w:pPr>
        <w:rPr>
          <w:rFonts w:ascii="Times New Roman" w:hAnsi="Times New Roman"/>
          <w:highlight w:val="yellow"/>
        </w:rPr>
      </w:pP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8465D8">
        <w:rPr>
          <w:rFonts w:ascii="Times New Roman" w:hAnsi="Times New Roman"/>
        </w:rPr>
        <w:t xml:space="preserve">Industry Standards: Underwriters Laboratory (UL) listed and National Sanitation Foundation (NSF) certification, or </w:t>
      </w:r>
      <w:r w:rsidR="002A7E50" w:rsidRPr="008465D8">
        <w:rPr>
          <w:rFonts w:ascii="Times New Roman" w:hAnsi="Times New Roman"/>
        </w:rPr>
        <w:t xml:space="preserve">approved </w:t>
      </w:r>
      <w:r w:rsidRPr="008465D8">
        <w:rPr>
          <w:rFonts w:ascii="Times New Roman" w:hAnsi="Times New Roman"/>
        </w:rPr>
        <w:t>equivalent. CE is not acceptable for a standard.</w:t>
      </w:r>
      <w:r w:rsidR="004C15F3" w:rsidRPr="008465D8">
        <w:rPr>
          <w:rFonts w:ascii="Times New Roman" w:hAnsi="Times New Roman"/>
        </w:rPr>
        <w:t xml:space="preserve"> </w:t>
      </w:r>
    </w:p>
    <w:p w:rsidR="00585D4A" w:rsidRPr="008465D8" w:rsidRDefault="00585D4A" w:rsidP="00E1788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 compliant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8465D8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465D8">
        <w:rPr>
          <w:rFonts w:ascii="Times New Roman" w:hAnsi="Times New Roman"/>
          <w:b/>
        </w:rPr>
        <w:t xml:space="preserve">  </w:t>
      </w:r>
      <w:r w:rsidR="008465D8" w:rsidRPr="008465D8">
        <w:rPr>
          <w:rFonts w:ascii="Times New Roman" w:hAnsi="Times New Roman"/>
        </w:rPr>
        <w:t>N / A</w:t>
      </w:r>
    </w:p>
    <w:p w:rsidR="008465D8" w:rsidRPr="006223CA" w:rsidRDefault="008465D8" w:rsidP="008465D8">
      <w:pPr>
        <w:pStyle w:val="ListParagraph"/>
        <w:ind w:left="1152"/>
        <w:rPr>
          <w:rFonts w:ascii="Times New Roman" w:hAnsi="Times New Roman"/>
          <w:b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8465D8" w:rsidRPr="008465D8">
        <w:rPr>
          <w:b w:val="0"/>
        </w:rPr>
        <w:t>Maple</w:t>
      </w:r>
    </w:p>
    <w:p w:rsidR="00C1475E" w:rsidRDefault="00C1475E" w:rsidP="00C1475E"/>
    <w:p w:rsidR="00C1475E" w:rsidRDefault="00C1475E" w:rsidP="00C1475E"/>
    <w:p w:rsidR="006864D9" w:rsidRDefault="006864D9" w:rsidP="00C1475E"/>
    <w:p w:rsidR="00691569" w:rsidRPr="00C1475E" w:rsidRDefault="00691569" w:rsidP="00C1475E"/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lastRenderedPageBreak/>
        <w:t>Electrical Requirements:</w:t>
      </w:r>
    </w:p>
    <w:p w:rsidR="007845C4" w:rsidRPr="00CE6571" w:rsidRDefault="007845C4" w:rsidP="007845C4">
      <w:pPr>
        <w:pStyle w:val="Heading1"/>
        <w:numPr>
          <w:ilvl w:val="1"/>
          <w:numId w:val="1"/>
        </w:numPr>
        <w:rPr>
          <w:b w:val="0"/>
        </w:rPr>
      </w:pPr>
      <w:r w:rsidRPr="00CE6571">
        <w:rPr>
          <w:b w:val="0"/>
        </w:rPr>
        <w:t xml:space="preserve">Standard U.S.A. electrical specifications:  110 volts, 60 Hertz, 1 </w:t>
      </w:r>
      <w:proofErr w:type="gramStart"/>
      <w:r w:rsidRPr="00CE6571">
        <w:rPr>
          <w:b w:val="0"/>
        </w:rPr>
        <w:t>phases</w:t>
      </w:r>
      <w:proofErr w:type="gramEnd"/>
      <w:r w:rsidRPr="00CE6571">
        <w:rPr>
          <w:b w:val="0"/>
        </w:rPr>
        <w:t>.</w:t>
      </w:r>
    </w:p>
    <w:p w:rsidR="007845C4" w:rsidRPr="00CE6571" w:rsidRDefault="007845C4" w:rsidP="007845C4">
      <w:pPr>
        <w:pStyle w:val="Heading1"/>
        <w:numPr>
          <w:ilvl w:val="1"/>
          <w:numId w:val="1"/>
        </w:numPr>
        <w:rPr>
          <w:b w:val="0"/>
        </w:rPr>
      </w:pPr>
      <w:r w:rsidRPr="00CE6571">
        <w:rPr>
          <w:b w:val="0"/>
        </w:rPr>
        <w:t>_____ Pacific Theater stores 120 V / 50 HZ / 1 PH (Applies to these stores only: Atsugi, Misawa, Sagami, Sagamihara, Yokosuka, Yokota, Camp Zama, and Kanto Plains CDC. All other stores are standard U.S.A. 60 cycle voltages.)</w:t>
      </w:r>
    </w:p>
    <w:p w:rsidR="007845C4" w:rsidRPr="00CE6571" w:rsidRDefault="007845C4" w:rsidP="007845C4">
      <w:pPr>
        <w:pStyle w:val="Heading1"/>
        <w:numPr>
          <w:ilvl w:val="1"/>
          <w:numId w:val="1"/>
        </w:numPr>
        <w:rPr>
          <w:b w:val="0"/>
        </w:rPr>
      </w:pPr>
      <w:r w:rsidRPr="00CE6571">
        <w:rPr>
          <w:b w:val="0"/>
        </w:rPr>
        <w:t xml:space="preserve">Minimum </w:t>
      </w:r>
      <w:proofErr w:type="gramStart"/>
      <w:r w:rsidRPr="00CE6571">
        <w:rPr>
          <w:b w:val="0"/>
        </w:rPr>
        <w:t>6 foot</w:t>
      </w:r>
      <w:proofErr w:type="gramEnd"/>
      <w:r w:rsidRPr="00CE6571">
        <w:rPr>
          <w:b w:val="0"/>
        </w:rPr>
        <w:t xml:space="preserve"> cord with a NEMA Standard plug, or a manufacturer’s equivalent to comply with the equipment plug in requirements. </w:t>
      </w:r>
    </w:p>
    <w:p w:rsidR="007845C4" w:rsidRPr="00CE6571" w:rsidRDefault="007845C4" w:rsidP="007845C4">
      <w:pPr>
        <w:pStyle w:val="Heading1"/>
        <w:numPr>
          <w:ilvl w:val="1"/>
          <w:numId w:val="1"/>
        </w:numPr>
        <w:rPr>
          <w:b w:val="0"/>
        </w:rPr>
      </w:pPr>
      <w:r w:rsidRPr="00CE6571">
        <w:rPr>
          <w:b w:val="0"/>
        </w:rPr>
        <w:t xml:space="preserve">NOTE: the operating range for 120 volts is 110 to 120 volts; the operating range for 220 volts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691569">
        <w:rPr>
          <w:rFonts w:ascii="Times New Roman" w:hAnsi="Times New Roman"/>
        </w:rPr>
        <w:t>assemble,</w:t>
      </w:r>
      <w:r w:rsidR="00680AD1" w:rsidRPr="007845C4">
        <w:rPr>
          <w:rFonts w:ascii="Times New Roman" w:hAnsi="Times New Roman"/>
        </w:rPr>
        <w:t xml:space="preserve"> </w:t>
      </w:r>
      <w:r w:rsidRPr="007845C4">
        <w:rPr>
          <w:rFonts w:ascii="Times New Roman" w:hAnsi="Times New Roman"/>
        </w:rPr>
        <w:t>plug in</w:t>
      </w:r>
      <w:r w:rsidR="00930616" w:rsidRPr="007845C4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691569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7845C4" w:rsidRDefault="009146A3" w:rsidP="007845C4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7845C4">
        <w:rPr>
          <w:b w:val="0"/>
        </w:rPr>
        <w:t>This item will require a drop down 110 V outlets where ever it is located if not in vicinity of a wall outlet. Not for washing of cooking pans or utensils, intended for hand-washing.</w:t>
      </w:r>
    </w:p>
    <w:p w:rsidR="009146A3" w:rsidRPr="00D17121" w:rsidRDefault="009146A3" w:rsidP="007845C4">
      <w:pPr>
        <w:pStyle w:val="Heading1"/>
        <w:numPr>
          <w:ilvl w:val="0"/>
          <w:numId w:val="0"/>
        </w:numPr>
        <w:ind w:left="432"/>
        <w:rPr>
          <w:i/>
        </w:rPr>
      </w:pPr>
    </w:p>
    <w:p w:rsidR="00C86D94" w:rsidRPr="00D17121" w:rsidRDefault="006864D9" w:rsidP="00C86D94">
      <w:pPr>
        <w:ind w:left="345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/>
      </w: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7845C4" w:rsidRDefault="007845C4" w:rsidP="00C601DF">
      <w:pPr>
        <w:ind w:left="432"/>
        <w:rPr>
          <w:rFonts w:ascii="Times New Roman" w:hAnsi="Times New Roman"/>
          <w:b/>
          <w:highlight w:val="yellow"/>
        </w:rPr>
      </w:pPr>
    </w:p>
    <w:p w:rsidR="007845C4" w:rsidRDefault="007845C4" w:rsidP="00C601DF">
      <w:pPr>
        <w:ind w:left="432"/>
        <w:rPr>
          <w:rFonts w:ascii="Times New Roman" w:hAnsi="Times New Roman"/>
          <w:b/>
          <w:highlight w:val="yellow"/>
        </w:rPr>
      </w:pPr>
    </w:p>
    <w:p w:rsidR="007845C4" w:rsidRDefault="007845C4" w:rsidP="00C601DF">
      <w:pPr>
        <w:ind w:left="432"/>
        <w:rPr>
          <w:rFonts w:ascii="Times New Roman" w:hAnsi="Times New Roman"/>
          <w:b/>
          <w:highlight w:val="yellow"/>
        </w:rPr>
      </w:pPr>
    </w:p>
    <w:p w:rsidR="007845C4" w:rsidRDefault="007845C4" w:rsidP="00C601DF">
      <w:pPr>
        <w:ind w:left="432"/>
        <w:rPr>
          <w:rFonts w:ascii="Times New Roman" w:hAnsi="Times New Roman"/>
          <w:b/>
          <w:highlight w:val="yellow"/>
        </w:rPr>
      </w:pPr>
    </w:p>
    <w:p w:rsidR="007845C4" w:rsidRDefault="00821886" w:rsidP="00C601DF">
      <w:pPr>
        <w:ind w:left="432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     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BDE5720" wp14:editId="7BC15764">
            <wp:extent cx="3955473" cy="3394363"/>
            <wp:effectExtent l="0" t="0" r="6985" b="0"/>
            <wp:docPr id="1" name="Picture 1" descr="C:\Users\thomasdr\Desktop\portable-sinks-premier-adult-portable-sink-with-stainless-steel-basi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dr\Desktop\portable-sinks-premier-adult-portable-sink-with-stainless-steel-basin-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53" cy="33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5C4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FD" w:rsidRDefault="00CD25FD">
      <w:r>
        <w:separator/>
      </w:r>
    </w:p>
  </w:endnote>
  <w:endnote w:type="continuationSeparator" w:id="0">
    <w:p w:rsidR="00CD25FD" w:rsidRDefault="00C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FD" w:rsidRDefault="00CD25FD">
      <w:r>
        <w:separator/>
      </w:r>
    </w:p>
  </w:footnote>
  <w:footnote w:type="continuationSeparator" w:id="0">
    <w:p w:rsidR="00CD25FD" w:rsidRDefault="00CD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8465D8" w:rsidRPr="00C21335" w:rsidRDefault="008465D8" w:rsidP="008465D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01/27/2016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465D8" w:rsidRPr="00D867CB" w:rsidRDefault="008465D8" w:rsidP="008465D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DELI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8465D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2D26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8465D8" w:rsidP="002E263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Portable Sink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24AB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F24AB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C3EDB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66E63"/>
    <w:rsid w:val="00470C51"/>
    <w:rsid w:val="00474624"/>
    <w:rsid w:val="004856E0"/>
    <w:rsid w:val="00485E72"/>
    <w:rsid w:val="00486FBD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5D4A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864D9"/>
    <w:rsid w:val="00691569"/>
    <w:rsid w:val="00693B72"/>
    <w:rsid w:val="006A1491"/>
    <w:rsid w:val="006A580B"/>
    <w:rsid w:val="006B22E1"/>
    <w:rsid w:val="006B2334"/>
    <w:rsid w:val="006B6A60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0B6B"/>
    <w:rsid w:val="00753476"/>
    <w:rsid w:val="00755A3F"/>
    <w:rsid w:val="00756EF0"/>
    <w:rsid w:val="00772310"/>
    <w:rsid w:val="00774798"/>
    <w:rsid w:val="00777F08"/>
    <w:rsid w:val="00780BCA"/>
    <w:rsid w:val="00781019"/>
    <w:rsid w:val="007845C4"/>
    <w:rsid w:val="007914C5"/>
    <w:rsid w:val="00792AD0"/>
    <w:rsid w:val="00793E89"/>
    <w:rsid w:val="0079693E"/>
    <w:rsid w:val="007A0A77"/>
    <w:rsid w:val="007A23C3"/>
    <w:rsid w:val="007A5A2E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1886"/>
    <w:rsid w:val="00826C0D"/>
    <w:rsid w:val="008304DC"/>
    <w:rsid w:val="00835B10"/>
    <w:rsid w:val="0084377A"/>
    <w:rsid w:val="008465D8"/>
    <w:rsid w:val="0085174B"/>
    <w:rsid w:val="008676A5"/>
    <w:rsid w:val="0086776B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0165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7807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AF2488"/>
    <w:rsid w:val="00AF769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3966"/>
    <w:rsid w:val="00BF0186"/>
    <w:rsid w:val="00C03C9E"/>
    <w:rsid w:val="00C03E23"/>
    <w:rsid w:val="00C04D0F"/>
    <w:rsid w:val="00C1475E"/>
    <w:rsid w:val="00C155D0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4830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25FD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75112"/>
    <w:rsid w:val="00E8426F"/>
    <w:rsid w:val="00E967CE"/>
    <w:rsid w:val="00E974D6"/>
    <w:rsid w:val="00EA458A"/>
    <w:rsid w:val="00EA672F"/>
    <w:rsid w:val="00ED3C85"/>
    <w:rsid w:val="00ED68FE"/>
    <w:rsid w:val="00EF122A"/>
    <w:rsid w:val="00F059A5"/>
    <w:rsid w:val="00F05A73"/>
    <w:rsid w:val="00F068D9"/>
    <w:rsid w:val="00F07923"/>
    <w:rsid w:val="00F155E9"/>
    <w:rsid w:val="00F25517"/>
    <w:rsid w:val="00F26DD5"/>
    <w:rsid w:val="00F33A5E"/>
    <w:rsid w:val="00F35289"/>
    <w:rsid w:val="00F36AE9"/>
    <w:rsid w:val="00F4249C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A7067"/>
    <w:rsid w:val="00FB2677"/>
    <w:rsid w:val="00FC1373"/>
    <w:rsid w:val="00FD0C64"/>
    <w:rsid w:val="00FD25DD"/>
    <w:rsid w:val="00FD398F"/>
    <w:rsid w:val="00FD4207"/>
    <w:rsid w:val="00FE77C6"/>
    <w:rsid w:val="00FF24AB"/>
    <w:rsid w:val="00FF3D6F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C24-C758-40B5-9A0B-22B88FAD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Coppler, Chris Chief, LELE</cp:lastModifiedBy>
  <cp:revision>3</cp:revision>
  <cp:lastPrinted>2016-01-05T13:24:00Z</cp:lastPrinted>
  <dcterms:created xsi:type="dcterms:W3CDTF">2016-06-16T16:41:00Z</dcterms:created>
  <dcterms:modified xsi:type="dcterms:W3CDTF">2016-06-16T16:42:00Z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